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media/image1.wmf" ContentType="image/x-wmf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customXml/itemProps2.xml" ContentType="application/vnd.openxmlformats-officedocument.customXmlProperties+xml"/>
  <Override PartName="/customXml/item2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4676"/>
        <w:gridCol w:w="284"/>
        <w:gridCol w:w="4538"/>
      </w:tblGrid>
      <w:tr>
        <w:trPr/>
        <w:tc>
          <w:tcPr>
            <w:tcW w:w="467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Cs/>
                <w:caps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aps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i/>
                <w:iCs/>
                <w:caps/>
                <w:color w:val="000000"/>
                <w:sz w:val="26"/>
                <w:szCs w:val="26"/>
                <w:lang w:eastAsia="ru-RU"/>
              </w:rPr>
            </w:r>
          </w:p>
        </w:tc>
      </w:tr>
      <w:tr>
        <w:trPr/>
        <w:tc>
          <w:tcPr>
            <w:tcW w:w="467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6"/>
                <w:szCs w:val="26"/>
                <w:lang w:val="en-US" w:eastAsia="ru-RU"/>
              </w:rPr>
            </w:r>
          </w:p>
        </w:tc>
      </w:tr>
      <w:tr>
        <w:trPr>
          <w:trHeight w:val="202" w:hRule="atLeast"/>
        </w:trPr>
        <w:tc>
          <w:tcPr>
            <w:tcW w:w="467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453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right="-250" w:hanging="0"/>
              <w:jc w:val="center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6"/>
                <w:szCs w:val="26"/>
                <w:lang w:eastAsia="ru-RU"/>
              </w:rPr>
            </w:r>
          </w:p>
        </w:tc>
      </w:tr>
    </w:tbl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lang w:eastAsia="ru-RU"/>
        </w:rPr>
        <w:t xml:space="preserve">ТЕХНИЧЕСКИЕ УСЛОВИЯ 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6"/>
          <w:szCs w:val="26"/>
          <w:lang w:eastAsia="ru-RU"/>
        </w:rPr>
        <w:t xml:space="preserve">на технологическое присоединение к электрическим сетям АО «ДРСК»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</w:r>
    </w:p>
    <w:tbl>
      <w:tblPr>
        <w:tblW w:w="9923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4676"/>
        <w:gridCol w:w="286"/>
        <w:gridCol w:w="4961"/>
      </w:tblGrid>
      <w:tr>
        <w:trPr/>
        <w:tc>
          <w:tcPr>
            <w:tcW w:w="467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i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6"/>
                <w:szCs w:val="26"/>
                <w:lang w:eastAsia="ru-RU"/>
              </w:rPr>
              <w:t>ТПр4544/23</w:t>
            </w:r>
          </w:p>
        </w:tc>
        <w:tc>
          <w:tcPr>
            <w:tcW w:w="28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496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right="-108" w:hanging="0"/>
              <w:jc w:val="right"/>
              <w:rPr>
                <w:rFonts w:ascii="Times New Roman" w:hAnsi="Times New Roman" w:eastAsia="Times New Roman" w:cs="Times New Roman"/>
                <w:b/>
                <w:i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            </w:t>
            </w:r>
            <w:r>
              <w:rPr>
                <w:rFonts w:eastAsia="Times New Roman" w:cs="Times New Roman" w:ascii="Times New Roman" w:hAnsi="Times New Roman"/>
                <w:b/>
                <w:i/>
                <w:color w:val="000000"/>
                <w:sz w:val="26"/>
                <w:szCs w:val="26"/>
                <w:lang w:eastAsia="ru-RU"/>
              </w:rPr>
              <w:t>«         »                      2023 года</w:t>
            </w:r>
          </w:p>
        </w:tc>
      </w:tr>
    </w:tbl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Настоящие Технические условия</w:t>
      </w:r>
      <w:r>
        <w:rPr>
          <w:rFonts w:eastAsia="Times New Roman" w:cs="Times New Roman" w:ascii="Times New Roman" w:hAnsi="Times New Roman"/>
          <w:color w:val="000000"/>
          <w:spacing w:val="-1"/>
          <w:sz w:val="26"/>
          <w:szCs w:val="26"/>
          <w:lang w:eastAsia="ru-RU"/>
        </w:rPr>
        <w:t xml:space="preserve"> разработаны на основании Заявки, зарегистрированной в филиале АО «ДРСК» Хабаровские ЭС 02.11.2023 № ТПр 4544/23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и являются неотъемлемой частью Договора об осуществлении технологического присоединения от                               </w:t>
      </w: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  <w:t xml:space="preserve">№ 4544/23-ХЭС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энергопринимающих устройств </w:t>
      </w: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  <w:t>Общество с ограниченной ответственностью "Хабаровское мостостроительное общество",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именуемого в дальнейшем – Заявитель, к электрическим сетям АО «ДРСК» (далее – Общество).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Настоящие технические условия вступают в силу с даты их утверждения Обществом и действительны в течение </w:t>
      </w: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  <w:t>6 лет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Наименование энергопринимающих устройств/объектов электросетевого хозяйства: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ТП-6/0,4 кВ для электроснабжения «Промышленной базы».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Наименование и месторасположение объектов, в целях энергоснабжения которых осуществляется технологическое присоединение энергопринимающих устройств: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ТП-6/0,4 кВ для электроснабжения «Промышленной базы», расположенная по адресу: Хабаровский край, Хабаровский р-н, Матвеевка с, 330 метров на юго- восток от жилого дома 26-2 по ул. Первомайской, кадастровый номер земельного участка 27:17:0301705:121 (далее объект).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Максимальная мощность присоединяемых энергопринимающих устройств/ объектов электросетевого хозяйства заявителя составляет: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1,5 МВт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Ранее присоединенная максимальная мощность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: 0 МВт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Максимальная мощность в точках присоединения с учетом ранее присоединенной: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1,5 МВт.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 xml:space="preserve">Точка присоединения: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элементы электрической сети ЛЭП 6 кВ, строящейся от опоры № 1 ВЛ-6 кВ фидера № 44 ПС 110/35/6 кВ ГВФ -  максимальная мощность 1,5 МВт;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ab/>
        <w:t>Категория надежности: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         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III категория – 1,5 МВт.           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ab/>
        <w:t>Класс напряжения электрических сетей, к которым осуществляется технологическое присоединение: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6 кВ.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 xml:space="preserve">Основной источник питания: 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ПС 110/35/6 кВ ГВФ.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 xml:space="preserve">Резервный источник питания: 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Не требуется.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Граница балансовой принадлежности и эксплуатационной ответственности: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Вновь вводимая точка присоединения: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- элементы электрической сети ЛЭП 6 кВ, строящейся от опоры № 1 ВЛ-6 кВ фидера № 44 ПС 110/35/6 кВ ГВФ.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Год ввода в эксплуатацию энергопринимающего устройства / объекта электросетевого хозяйства по заявке: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2023 г (требуемый заявителю).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9"/>
          <w:tab w:val="left" w:pos="319" w:leader="none"/>
        </w:tabs>
        <w:spacing w:lineRule="auto" w:line="240" w:before="0" w:after="0"/>
        <w:ind w:left="0" w:hanging="0"/>
        <w:jc w:val="center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</w:rPr>
        <w:t>МЕРОПРИЯТИЯ ПО ОСНОВНОМУ (ПЕРВИЧНОМУ) ЭЛЕКТРОТЕХНИЧЕСКОМУ ОБОРУДОВАНИЮ</w:t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Выполнить в сроки, устанавливаемые Договором об осуществлении технологического присоединения, но не позднее окончания срока действия настоящих Технических условий (пояснительная схема прилагается):</w:t>
      </w:r>
    </w:p>
    <w:p>
      <w:pPr>
        <w:pStyle w:val="Normal"/>
        <w:numPr>
          <w:ilvl w:val="1"/>
          <w:numId w:val="2"/>
        </w:numPr>
        <w:tabs>
          <w:tab w:val="clear" w:pos="709"/>
          <w:tab w:val="left" w:pos="1310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На объектах Заявителя:</w:t>
      </w:r>
    </w:p>
    <w:p>
      <w:pPr>
        <w:pStyle w:val="Normal"/>
        <w:tabs>
          <w:tab w:val="clear" w:pos="709"/>
          <w:tab w:val="left" w:pos="131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 xml:space="preserve">1.1.1. Строительство, в границах собственного земельного участка, необходимого количества ЛЭП-6 кВ от точки присоединения, расположенной на границе земельного участка, до проектируемой ТП 6/0,4 кВ. </w:t>
      </w:r>
    </w:p>
    <w:p>
      <w:pPr>
        <w:pStyle w:val="Normal"/>
        <w:tabs>
          <w:tab w:val="clear" w:pos="709"/>
          <w:tab w:val="left" w:pos="42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ab/>
        <w:t>1.1.2. Строительство, в границах собственного земельного, участка необходимого количества ТП 6/0,4 кВ, при необходимости одно или несколько ТП предусмотреть совмещенными с РП (ТП-РП 6/0,4кВ). Тип, место установки, мощность и количество трансформаторов определить в проекте. В ТП 6/0,4 (ТП-РП 6/0,4кВ) предусмотреть заземление и защиту от перенапряжений.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 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1.2. На объектах Общества: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1.2.1. Реконструкция РУ 6 кВ ПС 110/35/6 кВ Южная с заменой, в линейной ячейке 6 кВ № 44, трансформаторов тока на трансформаторы тока с расчетным коэффициентом трансформации, соответствующим заявленной мощности. Класс точности вторичной обмотки трансформаторов тока для учёта и измерений принять не ниже 0,5, для устройств релейной защиты и автоматики 10 р (тип и параметры уточнить при проектировании).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1.2.2. Строительство от опоры № 1 ВЛ-6 кВ фидера № 44 ПС 110/35/6 кВ ГВФ ответвительной ВЛ 6 кВ проводом СИП 3 сечением не менее 50 мм2 ориентировочной протяженностью 2200 метров.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1.2.2.1. Сечение проводников ЛЭП 6 кВ, и конструктивные особенности уточнить в проекте.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1.3. На объектах электроэнергетики третьих лиц: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Без мероприятий по строительству и (или) реконструкции существующих электрических сетей третьих лиц.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319" w:leader="none"/>
        </w:tabs>
        <w:spacing w:lineRule="auto" w:line="240" w:before="0" w:after="0"/>
        <w:ind w:left="567" w:hanging="0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</w:rPr>
        <w:t>2. МЕРОПРИЯТИЯ ПО ОБОРУДОВАНИЮ СИСТЕМ ТЕХНОЛОГИЧЕСКОГО УПРАВЛЕНИЯ</w:t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2.1.</w:t>
        <w:tab/>
        <w:t xml:space="preserve">В линейной ячейке 6 кВ № 44 ПС 110/35/6 кВ ГВФ предусмотреть установку устройств релейной защиты и противоаварийной автоматики (АЧР, ЧАПВ) на базе микропроцессорных терминалов. </w:t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2.1.1.</w:t>
        <w:tab/>
        <w:t>Устройства РЗА должны обеспечивать свою работу при частоте 45,0 – 55,0 Гц.</w:t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2.1.2.</w:t>
        <w:tab/>
        <w:t>Предусмотреть быстродействующую дуговую защиту ячеек 6 кВ.</w:t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2.2.</w:t>
        <w:tab/>
        <w:t xml:space="preserve">Предусмотреть, подключение нагрузки Заявителя под действие устройств противоаварийной автоматики (АЧР, ЧАПВ). </w:t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2.3.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Оснастить ТП 6/0,4 кВ устройствами защиты от перенапряжений и токов короткого замыкания.</w:t>
        <w:tab/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2.4. Выполнить учет электроэнергии в соответствии с Типовой инструкцией по учету электроэнергии при ее производстве, передаче и распределении (СО 153-34.09.101-94), требованиями правил организации учета электрической энергии на розничном рынке, установленных Федеральным законом от 26.03.2003 № 35-ФЗ «Об электроэнергетике», Основными положениями функционирования розничных рынков электрической энергии, утвержденными Постановлением Правительства РФ от 04.05.2012 № 442.</w:t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2.5.</w:t>
        <w:tab/>
        <w:t>В случае установки на территории заявителя автономных источников питания, для данных источников питания предусмотреть установку автоматической и (или) ручной блокировки препятствующих подаче напряжения от автономных источников питания в электрическую сеть АО «ДРСК».</w:t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1134" w:leader="none"/>
        </w:tabs>
        <w:spacing w:lineRule="auto" w:line="240" w:before="0" w:after="0"/>
        <w:ind w:left="567" w:hanging="0"/>
        <w:contextualSpacing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3.</w:t>
        <w:tab/>
        <w:t>ТРЕБОВАНИЯ К ЭНЕРГОПРИНИМАЮЩИМ УСТРОЙСТВАМ</w:t>
      </w:r>
    </w:p>
    <w:p>
      <w:pPr>
        <w:pStyle w:val="Normal"/>
        <w:widowControl w:val="false"/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3.1. В случае выявления, при проектировании, согласно пункту 4.1 настоящих технических условий возможности нарушения соотношения потребления активной и реактивной мощности: нарушение критерия tg φ ≤ 0,4 в точках присоединения к электрическим сетям Общества энергопринимающих устройств Заявителя, в целях поддержания соотношения потребления активной и реактивной мощности оснастить объекты электросетевого хозяйства Заявителя, указанные в разделе 1 настоящих Технических условий, средствами компенсации реактивной мощности и автоматикой регулирования напряжения и поддержания соотношений потребления активной и реактивной мощности.</w:t>
      </w:r>
    </w:p>
    <w:p>
      <w:pPr>
        <w:pStyle w:val="Normal"/>
        <w:widowControl w:val="false"/>
        <w:tabs>
          <w:tab w:val="clear" w:pos="709"/>
          <w:tab w:val="left" w:pos="900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При проведении расчетов, определяющих необходимость оснащения объекта электросетевого хозяйства Заявителя средствами компенсации реактивной мощности и автоматикой регулирования напряжения, и при проектировании согласно пункту 4.1 настоящих Технических условий нормально допускаемые и предельно допускаемые значения отклонения на вводах приемников электрической энергии принять соответственно ±5% и ±10% от номинального напряжения электрической сети.</w:t>
      </w:r>
    </w:p>
    <w:p>
      <w:pPr>
        <w:pStyle w:val="Normal"/>
        <w:widowControl w:val="false"/>
        <w:tabs>
          <w:tab w:val="clear" w:pos="709"/>
          <w:tab w:val="left" w:pos="567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ab/>
        <w:t xml:space="preserve">3.2. При наличии непрерывных технологических процессов, нарушение которых связано с высокими материальными затратами, оснастить электрические сети Заявителя средствами, обеспечивающими нечувствительность систем управления непрерывным технологическим процессом к провалам напряжения в соответствии с ГОСТ </w:t>
      </w:r>
      <w:r>
        <w:rPr>
          <w:rFonts w:eastAsia="Times New Roman" w:cs="Times New Roman" w:ascii="Times New Roman" w:hAnsi="Times New Roman"/>
          <w:sz w:val="26"/>
          <w:szCs w:val="26"/>
        </w:rPr>
        <w:t>32144-2013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.</w:t>
      </w:r>
    </w:p>
    <w:p>
      <w:pPr>
        <w:pStyle w:val="Normal"/>
        <w:widowControl w:val="false"/>
        <w:tabs>
          <w:tab w:val="clear" w:pos="709"/>
          <w:tab w:val="left" w:pos="319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319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4. ПОРЯДОК ВЫПОЛНЕНИЯ МЕРОПРИЯТИЙ ПО ТЕХНОЛОГИЧЕСКОМУ ПРИСОЕДИНЕНИЮ</w:t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4.1. Заявитель выполняет мероприятия, указанные в пункте 1.1 с учетом требований пунктов 2.3, 2.5 и раздела 3 настоящих Технических условий, включая разработку проектной и рабочей документации.</w:t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Заявитель обязан представить Обществу копии разделов проектной документации, предусматривающих реализацию технических решений, обеспечивающих выполнение настоящих технических условий.</w:t>
      </w:r>
    </w:p>
    <w:p>
      <w:pPr>
        <w:pStyle w:val="Normal"/>
        <w:widowControl w:val="false"/>
        <w:tabs>
          <w:tab w:val="clear" w:pos="709"/>
          <w:tab w:val="left" w:pos="1176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4.2. Общество выполняет мероприятия, указанные в пункте 1.2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,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2.1,2.2 и 2.4 настоящих Технических условий, включая разработку проектной и рабочей документации.</w:t>
      </w:r>
    </w:p>
    <w:p>
      <w:pPr>
        <w:pStyle w:val="Normal"/>
        <w:widowControl w:val="false"/>
        <w:tabs>
          <w:tab w:val="clear" w:pos="709"/>
          <w:tab w:val="left" w:pos="567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</w:rPr>
        <w:tab/>
        <w:t>4.3. Если в ходе проектирования возникает необходимость частичного отступления от настоящих Технических условий, такие отступления подлежат согласованию с Обществом (путем внесения изменений в настоящие Технические условия).</w:t>
      </w:r>
    </w:p>
    <w:p>
      <w:pPr>
        <w:pStyle w:val="Normal"/>
        <w:widowControl w:val="false"/>
        <w:tabs>
          <w:tab w:val="clear" w:pos="709"/>
          <w:tab w:val="left" w:pos="567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</w:rPr>
        <w:tab/>
        <w:t xml:space="preserve">4.5. Провести проверку выполнения настоящих Технических условий, включая проведение осмотра (обследования) электроустановок, с участием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представителей Общества</w:t>
      </w:r>
      <w:r>
        <w:rPr>
          <w:rFonts w:eastAsia="Times New Roman" w:cs="Times New Roman" w:ascii="Times New Roman" w:hAnsi="Times New Roman"/>
          <w:color w:val="000000"/>
          <w:sz w:val="26"/>
          <w:szCs w:val="26"/>
        </w:rPr>
        <w:t>.</w:t>
      </w:r>
    </w:p>
    <w:p>
      <w:pPr>
        <w:pStyle w:val="Normal"/>
        <w:widowControl w:val="false"/>
        <w:tabs>
          <w:tab w:val="clear" w:pos="709"/>
          <w:tab w:val="left" w:pos="567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</w:rPr>
        <w:tab/>
        <w:t>4.6. Получить от Общества акт о выполнении технических условий.</w:t>
      </w:r>
    </w:p>
    <w:p>
      <w:pPr>
        <w:pStyle w:val="Normal"/>
        <w:widowControl w:val="false"/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ab/>
        <w:t>4.7.Получить разрешение федерального органа исполнительной власти, осуществляющего федеральный государственный энергетический надзор, на допуск в эксплуатацию объектов электросетевого хозяйства Заявителя.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1701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Приложение: Схема присоединения заявителя к сетям АО «ДРСК».</w:t>
        <w:tab/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1701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1701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1701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1701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1701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/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i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-3240" w:leader="none"/>
        </w:tabs>
        <w:spacing w:lineRule="auto" w:line="240" w:before="0" w:after="0"/>
        <w:ind w:left="2268" w:hanging="2268"/>
        <w:jc w:val="both"/>
        <w:rPr>
          <w:rFonts w:ascii="Times New Roman" w:hAnsi="Times New Roman" w:eastAsia="Times New Roman" w:cs="Times New Roman"/>
          <w:b/>
          <w:i/>
          <w:i/>
          <w:color w:val="000000"/>
          <w:sz w:val="26"/>
          <w:szCs w:val="26"/>
          <w:lang w:eastAsia="ru-RU"/>
        </w:rPr>
      </w:pPr>
      <w:r>
        <w:rPr/>
      </w:r>
    </w:p>
    <w:tbl>
      <w:tblPr>
        <w:tblStyle w:val="a3"/>
        <w:tblW w:w="948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486"/>
      </w:tblGrid>
      <w:tr>
        <w:trPr/>
        <w:tc>
          <w:tcPr>
            <w:tcW w:w="94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Приложение к техническим условиям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  ____________ № ТПр4544/23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Схема присоединения заявителя к сетям АО «ДРСК»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0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/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477pt;height:192pt;mso-wrap-distance-right:0pt;mso-wrap-distance-bottom:10pt" filled="f" o:ole="">
            <v:imagedata r:id="rId3" o:title=""/>
          </v:shape>
          <o:OLEObject Type="Embed" ProgID="Visio.Drawing.11" ShapeID="ole_rId2" DrawAspect="Content" ObjectID="_99006849" r:id="rId2"/>
        </w:object>
      </w:r>
      <w:bookmarkEnd w:id="0"/>
    </w:p>
    <w:sectPr>
      <w:headerReference w:type="default" r:id="rId4"/>
      <w:type w:val="nextPage"/>
      <w:pgSz w:w="11906" w:h="16838"/>
      <w:pgMar w:left="1418" w:right="709" w:gutter="0" w:header="709" w:top="851" w:footer="0" w:bottom="851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Verdan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014774224"/>
    </w:sdtPr>
    <w:sdtContent>
      <w:p>
        <w:pPr>
          <w:pStyle w:val="Header"/>
          <w:jc w:val="center"/>
          <w:rPr/>
        </w:pPr>
        <w:r>
          <w:rPr>
            <w:rFonts w:cs="Times New Roman" w:ascii="Times New Roman" w:hAnsi="Times New Roman"/>
            <w:sz w:val="20"/>
            <w:szCs w:val="20"/>
          </w:rPr>
          <w:fldChar w:fldCharType="begin"/>
        </w:r>
        <w:r>
          <w:rPr>
            <w:sz w:val="20"/>
            <w:szCs w:val="20"/>
            <w:rFonts w:cs="Times New Roman" w:ascii="Times New Roman" w:hAnsi="Times New Roman"/>
          </w:rPr>
          <w:instrText xml:space="preserve"> PAGE </w:instrText>
        </w:r>
        <w:r>
          <w:rPr>
            <w:sz w:val="20"/>
            <w:szCs w:val="20"/>
            <w:rFonts w:cs="Times New Roman" w:ascii="Times New Roman" w:hAnsi="Times New Roman"/>
          </w:rPr>
          <w:fldChar w:fldCharType="separate"/>
        </w:r>
        <w:r>
          <w:rPr>
            <w:sz w:val="20"/>
            <w:szCs w:val="20"/>
            <w:rFonts w:cs="Times New Roman" w:ascii="Times New Roman" w:hAnsi="Times New Roman"/>
          </w:rPr>
          <w:t>5</w:t>
        </w:r>
        <w:r>
          <w:rPr>
            <w:sz w:val="20"/>
            <w:szCs w:val="20"/>
            <w:rFonts w:cs="Times New Roman"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umentProtection w:edit="trackedChanges" w:cryptProviderType="rsaAES" w:cryptAlgorithmClass="hash" w:cryptAlgorithmType="typeAny" w:cryptAlgorithmSid="" w:cryptSpinCount="0" w:hash="" w:salt="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3b0fd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3"/>
    <w:uiPriority w:val="99"/>
    <w:qFormat/>
    <w:pPr>
      <w:keepNext w:val="true"/>
      <w:tabs>
        <w:tab w:val="clear" w:pos="709"/>
        <w:tab w:val="left" w:pos="360" w:leader="none"/>
      </w:tabs>
      <w:spacing w:lineRule="auto" w:line="240" w:before="240" w:after="60"/>
      <w:ind w:left="360" w:hanging="0"/>
      <w:outlineLvl w:val="2"/>
    </w:pPr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Текст сноски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>
    <w:name w:val="Символ сноски"/>
    <w:uiPriority w:val="99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Style9" w:customStyle="1">
    <w:name w:val="Текст концевой сноски Знак"/>
    <w:basedOn w:val="DefaultParagraphFont"/>
    <w:uiPriority w:val="99"/>
    <w:semiHidden/>
    <w:qFormat/>
    <w:rPr>
      <w:sz w:val="20"/>
      <w:szCs w:val="20"/>
    </w:rPr>
  </w:style>
  <w:style w:type="character" w:styleId="Style10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1" w:customStyle="1">
    <w:name w:val="Текст примечания Знак"/>
    <w:basedOn w:val="DefaultParagraphFont"/>
    <w:link w:val="Annotationtext"/>
    <w:uiPriority w:val="99"/>
    <w:semiHidden/>
    <w:qFormat/>
    <w:rPr>
      <w:rFonts w:ascii="Times New Roman" w:hAnsi="Times New Roman"/>
      <w:sz w:val="20"/>
      <w:szCs w:val="20"/>
    </w:rPr>
  </w:style>
  <w:style w:type="character" w:styleId="Style12" w:customStyle="1">
    <w:name w:val="Верхний колонтитул Знак"/>
    <w:basedOn w:val="DefaultParagraphFont"/>
    <w:uiPriority w:val="99"/>
    <w:qFormat/>
    <w:rPr/>
  </w:style>
  <w:style w:type="character" w:styleId="Style13" w:customStyle="1">
    <w:name w:val="Нижний колонтитул Знак"/>
    <w:basedOn w:val="DefaultParagraphFont"/>
    <w:uiPriority w:val="99"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15" w:customStyle="1">
    <w:name w:val="Тема примечания Знак"/>
    <w:basedOn w:val="Style11"/>
    <w:link w:val="Annotation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character" w:styleId="Webofficeattributevalue1" w:customStyle="1">
    <w:name w:val="webofficeattributevalue1"/>
    <w:basedOn w:val="DefaultParagraphFont"/>
    <w:qFormat/>
    <w:rPr>
      <w:rFonts w:ascii="Verdana" w:hAnsi="Verdana"/>
      <w:strike w:val="false"/>
      <w:dstrike w:val="false"/>
      <w:color w:val="000000"/>
      <w:sz w:val="18"/>
      <w:szCs w:val="18"/>
      <w:u w:val="none"/>
      <w:effect w:val="none"/>
    </w:rPr>
  </w:style>
  <w:style w:type="character" w:styleId="3" w:customStyle="1">
    <w:name w:val="Заголовок 3 Знак"/>
    <w:basedOn w:val="DefaultParagraphFont"/>
    <w:uiPriority w:val="99"/>
    <w:qFormat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Style16" w:customStyle="1">
    <w:name w:val="Основной текст с отступом Знак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1" w:customStyle="1">
    <w:name w:val="Заголовок 1 Знак"/>
    <w:basedOn w:val="DefaultParagraphFont"/>
    <w:uiPriority w:val="9"/>
    <w:qFormat/>
    <w:rsid w:val="003b0fd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uiPriority w:val="99"/>
    <w:semiHidden/>
    <w:unhideWhenUsed/>
    <w:pPr>
      <w:spacing w:lineRule="auto" w:line="240" w:before="0" w:after="200"/>
      <w:ind w:left="283" w:hanging="283"/>
      <w:contextualSpacing/>
    </w:pPr>
    <w:rPr>
      <w:rFonts w:ascii="Times New Roman" w:hAnsi="Times New Roman"/>
      <w:sz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FootnoteText">
    <w:name w:val="Footnote Text"/>
    <w:basedOn w:val="Normal"/>
    <w:link w:val="Style7"/>
    <w:uiPriority w:val="99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Style9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Annotationtext">
    <w:name w:val="annotation text"/>
    <w:basedOn w:val="Normal"/>
    <w:link w:val="Style11"/>
    <w:uiPriority w:val="99"/>
    <w:semiHidden/>
    <w:unhideWhenUsed/>
    <w:qFormat/>
    <w:pPr>
      <w:spacing w:lineRule="auto" w:line="240"/>
    </w:pPr>
    <w:rPr>
      <w:rFonts w:ascii="Times New Roman" w:hAnsi="Times New Roman"/>
      <w:sz w:val="20"/>
      <w:szCs w:val="20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2"/>
    <w:uiPriority w:val="99"/>
    <w:unhideWhenUsed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3"/>
    <w:uiPriority w:val="99"/>
    <w:unhideWhenUsed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link w:val="Style15"/>
    <w:uiPriority w:val="99"/>
    <w:semiHidden/>
    <w:unhideWhenUsed/>
    <w:qFormat/>
    <w:pPr/>
    <w:rPr>
      <w:rFonts w:ascii="Calibri" w:hAnsi="Calibri" w:asciiTheme="minorHAnsi" w:hAnsiTheme="minorHAnsi"/>
      <w:b/>
      <w:bCs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odyTextIndent">
    <w:name w:val="Body Text Indent"/>
    <w:basedOn w:val="Normal"/>
    <w:link w:val="Style16"/>
    <w:pPr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" w:customStyle="1">
    <w:name w:val="Знак"/>
    <w:basedOn w:val="Normal"/>
    <w:qFormat/>
    <w:pPr>
      <w:spacing w:lineRule="exact" w:line="240" w:before="0" w:after="160"/>
    </w:pPr>
    <w:rPr>
      <w:rFonts w:ascii="Verdana" w:hAnsi="Verdana" w:eastAsia="Times New Roman" w:cs="Verdana"/>
      <w:sz w:val="20"/>
      <w:szCs w:val="20"/>
      <w:lang w:val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e">
    <w:name w:val="Light Shading"/>
    <w:basedOn w:val="a1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1">
    <w:name w:val="Светлая заливка1"/>
    <w:basedOn w:val="a1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">
    <w:name w:val="Сетка таблицы1"/>
    <w:basedOn w:val="a1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676FC-423C-41E0-AF1F-3ABF3C1A3E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3F1B41-1569-4206-B393-276450458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AlterOffice/3.3.0.4$Linux_X86_64 LibreOffice_project/fa736b558560ebea8f92088bfd7720f4b3918f3f</Application>
  <AppVersion>15.0000</AppVersion>
  <Pages>5</Pages>
  <Words>985</Words>
  <Characters>7150</Characters>
  <CharactersWithSpaces>8203</CharactersWithSpaces>
  <Paragraphs>58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2023-09-07T06:58:00Z</dcterms:created>
  <dc:creator>Корнеев А.Ю.</dc:creator>
  <dc:description/>
  <dc:language>ru-RU</dc:language>
  <cp:lastModifiedBy>temnyuk_av</cp:lastModifiedBy>
  <cp:lastPrinted>2023-12-04T05:46:00Z</cp:lastPrinted>
  <dcterms:modified xsi:type="dcterms:W3CDTF">2026-07-27T15:01:21Z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0900005a80ead2a1</vt:lpwstr>
  </property>
  <property fmtid="{D5CDD505-2E9C-101B-9397-08002B2CF9AE}" pid="3" name="CustomObjectState">
    <vt:lpwstr>180939569</vt:lpwstr>
  </property>
  <property fmtid="{D5CDD505-2E9C-101B-9397-08002B2CF9AE}" pid="4" name="CustomOwnerUserId">
    <vt:lpwstr>KorneevAY</vt:lpwstr>
  </property>
  <property fmtid="{D5CDD505-2E9C-101B-9397-08002B2CF9AE}" pid="5" name="CustomServerURL">
    <vt:lpwstr>http://172.17.101.97:7777/asud_hmrsk/doc-upload</vt:lpwstr>
  </property>
  <property fmtid="{D5CDD505-2E9C-101B-9397-08002B2CF9AE}" pid="6" name="CustomUserId">
    <vt:lpwstr>KorneevAY</vt:lpwstr>
  </property>
  <property fmtid="{D5CDD505-2E9C-101B-9397-08002B2CF9AE}" pid="7" name="localFileProperties">
    <vt:lpwstr>CHERNOV-MV1.chernov_mv.C:\Users\CHERNO~1\AppData\Local\Temp\AsudCheckout\0900005a80ead2a1\ПРИКАЗ_ПО_ТП_сентябрь_2013.docx.docm</vt:lpwstr>
  </property>
</Properties>
</file>